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方正小标宋_GBK" w:hAnsi="华文中宋" w:eastAsia="方正小标宋_GBK" w:cs="宋体"/>
          <w:b/>
          <w:kern w:val="0"/>
          <w:sz w:val="48"/>
          <w:szCs w:val="48"/>
        </w:rPr>
      </w:pPr>
      <w:r>
        <w:rPr>
          <w:rFonts w:hint="eastAsia" w:ascii="方正小标宋_GBK" w:hAnsi="华文中宋" w:eastAsia="方正小标宋_GBK" w:cs="宋体"/>
          <w:b/>
          <w:kern w:val="0"/>
          <w:sz w:val="48"/>
          <w:szCs w:val="48"/>
        </w:rPr>
        <w:t>自治区财政项目支出绩效自评报告</w:t>
      </w:r>
    </w:p>
    <w:p>
      <w:pPr>
        <w:spacing w:line="540" w:lineRule="exact"/>
        <w:jc w:val="center"/>
        <w:rPr>
          <w:rFonts w:ascii="华文中宋" w:hAnsi="华文中宋" w:eastAsia="华文中宋" w:cs="宋体"/>
          <w:b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（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2018</w:t>
      </w:r>
      <w:r>
        <w:rPr>
          <w:rFonts w:hint="eastAsia" w:hAnsi="宋体" w:eastAsia="仿宋_GB2312" w:cs="宋体"/>
          <w:kern w:val="0"/>
          <w:sz w:val="36"/>
          <w:szCs w:val="36"/>
        </w:rPr>
        <w:t>年度）</w:t>
      </w: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700" w:lineRule="exact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   项目名称：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福彩销售机构业务专项资金</w:t>
      </w:r>
    </w:p>
    <w:p>
      <w:pPr>
        <w:spacing w:line="700" w:lineRule="exact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     实施单位（公章）：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新疆福利彩票发行中心</w:t>
      </w:r>
    </w:p>
    <w:p>
      <w:pPr>
        <w:spacing w:line="700" w:lineRule="exact"/>
        <w:ind w:firstLine="849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主管部门（公章）：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自治区民政厅</w:t>
      </w:r>
    </w:p>
    <w:p>
      <w:pPr>
        <w:spacing w:line="700" w:lineRule="exact"/>
        <w:ind w:firstLine="850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>项目负责人（签章）：</w:t>
      </w:r>
      <w:r>
        <w:rPr>
          <w:rFonts w:hint="eastAsia" w:hAnsi="宋体" w:eastAsia="仿宋_GB2312" w:cs="宋体"/>
          <w:kern w:val="0"/>
          <w:sz w:val="36"/>
          <w:szCs w:val="36"/>
          <w:lang w:eastAsia="zh-CN"/>
        </w:rPr>
        <w:t>冯志垠</w:t>
      </w:r>
      <w:bookmarkStart w:id="2" w:name="_GoBack"/>
      <w:bookmarkEnd w:id="2"/>
    </w:p>
    <w:p>
      <w:pPr>
        <w:spacing w:line="700" w:lineRule="exact"/>
        <w:ind w:firstLine="849" w:firstLineChars="236"/>
        <w:jc w:val="left"/>
        <w:rPr>
          <w:rFonts w:hAnsi="宋体" w:eastAsia="仿宋_GB2312" w:cs="宋体"/>
          <w:kern w:val="0"/>
          <w:sz w:val="36"/>
          <w:szCs w:val="36"/>
        </w:rPr>
      </w:pPr>
      <w:r>
        <w:rPr>
          <w:rFonts w:hint="eastAsia" w:hAnsi="宋体" w:eastAsia="仿宋_GB2312" w:cs="宋体"/>
          <w:kern w:val="0"/>
          <w:sz w:val="36"/>
          <w:szCs w:val="36"/>
        </w:rPr>
        <w:t xml:space="preserve">填报时间：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2019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年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36"/>
          <w:szCs w:val="36"/>
        </w:rPr>
        <w:t xml:space="preserve"> 月 </w:t>
      </w:r>
      <w:r>
        <w:rPr>
          <w:rFonts w:hint="eastAsia" w:hAnsi="宋体" w:eastAsia="仿宋_GB2312" w:cs="宋体"/>
          <w:kern w:val="0"/>
          <w:sz w:val="36"/>
          <w:szCs w:val="36"/>
          <w:lang w:val="en-US" w:eastAsia="zh-CN"/>
        </w:rPr>
        <w:t xml:space="preserve">28 </w:t>
      </w:r>
      <w:r>
        <w:rPr>
          <w:rFonts w:hint="eastAsia" w:hAnsi="宋体" w:eastAsia="仿宋_GB2312" w:cs="宋体"/>
          <w:kern w:val="0"/>
          <w:sz w:val="36"/>
          <w:szCs w:val="36"/>
        </w:rPr>
        <w:t>日</w:t>
      </w:r>
    </w:p>
    <w:p>
      <w:pPr>
        <w:spacing w:line="540" w:lineRule="exact"/>
        <w:jc w:val="center"/>
        <w:rPr>
          <w:rFonts w:hAnsi="宋体" w:eastAsia="仿宋_GB2312" w:cs="宋体"/>
          <w:kern w:val="0"/>
          <w:sz w:val="30"/>
          <w:szCs w:val="30"/>
        </w:rPr>
      </w:pPr>
    </w:p>
    <w:p>
      <w:pPr>
        <w:spacing w:line="540" w:lineRule="exact"/>
        <w:rPr>
          <w:rStyle w:val="18"/>
          <w:rFonts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18"/>
          <w:rFonts w:ascii="黑体" w:hAnsi="黑体" w:eastAsia="黑体"/>
          <w:b w:val="0"/>
          <w:spacing w:val="-4"/>
          <w:sz w:val="32"/>
          <w:szCs w:val="32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  <w:t>一、项目概况</w:t>
      </w:r>
    </w:p>
    <w:p>
      <w:pPr>
        <w:spacing w:line="600" w:lineRule="exact"/>
        <w:ind w:firstLine="627" w:firstLineChars="200"/>
        <w:rPr>
          <w:rStyle w:val="18"/>
          <w:rFonts w:hint="eastAsia" w:ascii="楷体" w:hAnsi="楷体" w:eastAsia="楷体"/>
          <w:spacing w:val="-4"/>
          <w:sz w:val="32"/>
          <w:szCs w:val="32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</w:rPr>
        <w:t>（一）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lang w:eastAsia="zh-CN"/>
        </w:rPr>
        <w:t>项目单位</w:t>
      </w:r>
      <w:r>
        <w:rPr>
          <w:rStyle w:val="18"/>
          <w:rFonts w:hint="eastAsia" w:ascii="楷体" w:hAnsi="楷体" w:eastAsia="楷体"/>
          <w:spacing w:val="-4"/>
          <w:sz w:val="32"/>
          <w:szCs w:val="32"/>
        </w:rPr>
        <w:t>基本情况</w:t>
      </w:r>
    </w:p>
    <w:p>
      <w:pPr>
        <w:snapToGrid w:val="0"/>
        <w:spacing w:line="5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新疆维吾尔自治区福利彩票发行中心成立于1991年2月，为县处级、自收自支事业单位。行政隶属于自治区民政厅，同时受中国福利彩票发行管理中心的业务领导，对新疆生产建设兵团福利彩票发行机构和15个（州、市）福利彩票发行机构负有业务领导职能。全疆福利彩票发行中心由自治区福利彩票发行中心及十五个地、州、市福彩中心构成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color w:val="000000"/>
          <w:sz w:val="32"/>
          <w:szCs w:val="32"/>
        </w:rPr>
        <w:t>中心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编制为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40人，实有</w:t>
      </w:r>
      <w:r>
        <w:rPr>
          <w:rFonts w:hint="eastAsia" w:ascii="仿宋" w:hAnsi="仿宋" w:eastAsia="仿宋"/>
          <w:color w:val="000000"/>
          <w:sz w:val="32"/>
          <w:szCs w:val="32"/>
        </w:rPr>
        <w:t>91名工作人员，其中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在编人员31人，聘用人员60人。</w:t>
      </w:r>
    </w:p>
    <w:p>
      <w:pPr>
        <w:snapToGrid w:val="0"/>
        <w:spacing w:line="500" w:lineRule="exact"/>
        <w:ind w:left="105" w:leftChars="5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color w:val="000000"/>
          <w:sz w:val="32"/>
          <w:szCs w:val="32"/>
        </w:rPr>
        <w:t>工作职责是在新疆境内组织销售福利彩票，建设和管理福利彩票销售网络，落实销售计划，筹集并上缴公益金。目前，自治区及各地、州、市发行机构共有388名工作人员，直接管理了全疆3000余个常规投注站、1000余个“时时彩”投注站，约6000余人的销售员队伍。</w:t>
      </w:r>
    </w:p>
    <w:p>
      <w:pPr>
        <w:spacing w:line="600" w:lineRule="exact"/>
        <w:ind w:firstLine="627" w:firstLineChars="200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>二）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项目预算绩效目标设定情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况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  <w:t>项目基本性质：销售机构业务专项资金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  <w:t>用途：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实现聘用人员与在编人员同工同酬，充分调动聘用人员积极性，推动各项工作的开展，体现各个岗位所创造出的不同价值，确保年度彩票销售任务顺利完成。</w:t>
      </w:r>
    </w:p>
    <w:p>
      <w:pPr>
        <w:spacing w:line="600" w:lineRule="exact"/>
        <w:ind w:firstLine="600" w:firstLineChars="2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  <w:t>主要内容：销售机构业务专项资金主要用于保障2018年长期聘用人员的工资和社保，增强员工工作积极性。保障率达到100%。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我中心在编人员31人，聘用人员60人，每月需根据区福彩中心考勤表发放60名聘用人员基本工资、津贴补贴。并按月及时缴纳60名聘用人员的社会保障缴费、住房公积金、其他工资福利支出；每月按时缴纳年初部门预算工资福利支出中未生成的31名在职在编人员的社会保障缴费、住房公积金差额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  <w:t>涉及范围：销售机构业务专项资金涉及新疆福利彩票发行中心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销售机构全体职工。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 xml:space="preserve">  </w:t>
      </w:r>
    </w:p>
    <w:p>
      <w:pPr>
        <w:spacing w:line="540" w:lineRule="exact"/>
        <w:rPr>
          <w:rStyle w:val="18"/>
          <w:rFonts w:ascii="黑体" w:hAnsi="黑体" w:eastAsia="黑体"/>
          <w:b w:val="0"/>
          <w:spacing w:val="-4"/>
          <w:sz w:val="32"/>
          <w:szCs w:val="32"/>
          <w:highlight w:val="none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  <w:highlight w:val="none"/>
        </w:rPr>
        <w:t>二、项目资金使用及管理情况</w:t>
      </w:r>
    </w:p>
    <w:p>
      <w:pPr>
        <w:spacing w:line="540" w:lineRule="exact"/>
        <w:ind w:firstLine="567" w:firstLineChars="181"/>
        <w:rPr>
          <w:rStyle w:val="18"/>
          <w:rFonts w:ascii="楷体" w:hAnsi="楷体" w:eastAsia="楷体"/>
          <w:spacing w:val="-4"/>
          <w:sz w:val="32"/>
          <w:szCs w:val="32"/>
          <w:highlight w:val="none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（一）项目资金安排落实、总投入等情况分析</w:t>
      </w:r>
    </w:p>
    <w:p>
      <w:pPr>
        <w:spacing w:line="540" w:lineRule="exact"/>
        <w:ind w:firstLine="564" w:firstLineChars="181"/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  <w:t>2018年福彩销售机构业务专项资金921.49万元。其中：根据新财预[2018]1号《关于下达自治区本级预算单位2018年部门预算的通知》，本级收支预算安排福彩销售机构业务专项资金876.49万元，上年结转资金45万元。</w:t>
      </w:r>
    </w:p>
    <w:p>
      <w:pPr>
        <w:spacing w:line="540" w:lineRule="exact"/>
        <w:ind w:firstLine="567" w:firstLineChars="181"/>
        <w:rPr>
          <w:rStyle w:val="18"/>
          <w:rFonts w:ascii="楷体" w:hAnsi="楷体" w:eastAsia="楷体"/>
          <w:spacing w:val="-4"/>
          <w:sz w:val="32"/>
          <w:szCs w:val="32"/>
          <w:highlight w:val="none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（二）项目资金实际使用情况分析</w:t>
      </w:r>
    </w:p>
    <w:p>
      <w:pPr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eastAsia="zh-CN"/>
        </w:rPr>
        <w:t>此项资金实际使用</w:t>
      </w: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  <w:t>851.93万元，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预算资金执行率达到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92%</w:t>
      </w: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  <w:t>结转下年使用69.56万。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bidi="ar"/>
        </w:rPr>
        <w:t>主要用于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 w:bidi="ar"/>
        </w:rPr>
        <w:t>发放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1-12月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销售机构聘用人员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工资、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津贴；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缴纳1-12月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销售机构聘用人员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养老金、失业金、医保金、住房公积金；缴纳1-12月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销售机构在编人员的社保、公积金补差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支付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3-12月全体职工伙食费。</w:t>
      </w:r>
    </w:p>
    <w:p>
      <w:pPr>
        <w:spacing w:line="540" w:lineRule="exact"/>
        <w:rPr>
          <w:rStyle w:val="18"/>
          <w:rFonts w:ascii="楷体" w:hAnsi="楷体" w:eastAsia="楷体"/>
          <w:spacing w:val="-4"/>
          <w:sz w:val="32"/>
          <w:szCs w:val="32"/>
          <w:highlight w:val="none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  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（三）项目资金管理情况分析</w:t>
      </w:r>
    </w:p>
    <w:p>
      <w:pPr>
        <w:ind w:firstLine="624" w:firstLineChars="200"/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eastAsia="zh-CN"/>
        </w:rPr>
      </w:pP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eastAsia="zh-CN"/>
        </w:rPr>
        <w:t>项目资金</w:t>
      </w: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  <w:t>严格按照</w:t>
      </w:r>
      <w:bookmarkStart w:id="0" w:name="OLE_LINK2"/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《自治区福利彩票发行中心工作人员管理办法》、《新疆维吾尔自治区福利彩票发行中心考勤管理办法》、《新疆维吾尔自治区国家机关工作人员病、事假管理暂行规定》、</w:t>
      </w:r>
      <w:bookmarkEnd w:id="0"/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国务院《职工带薪年休假条例》进行考核管理使用的。</w:t>
      </w: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eastAsia="zh-CN"/>
        </w:rPr>
        <w:t>建立健全管理制度，提高预算执行效率和资金使用效益，确保财政资金使用安全。</w:t>
      </w:r>
    </w:p>
    <w:p>
      <w:pPr>
        <w:spacing w:line="540" w:lineRule="exact"/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1"/>
        </w:numPr>
        <w:spacing w:line="540" w:lineRule="exact"/>
        <w:rPr>
          <w:rStyle w:val="18"/>
          <w:rFonts w:hint="eastAsia" w:ascii="黑体" w:hAnsi="黑体" w:eastAsia="黑体"/>
          <w:b w:val="0"/>
          <w:spacing w:val="-4"/>
          <w:sz w:val="32"/>
          <w:szCs w:val="32"/>
          <w:highlight w:val="none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  <w:highlight w:val="none"/>
        </w:rPr>
        <w:t>项目组织实施情况</w:t>
      </w:r>
    </w:p>
    <w:p>
      <w:pPr>
        <w:numPr>
          <w:ilvl w:val="0"/>
          <w:numId w:val="2"/>
        </w:numPr>
        <w:spacing w:line="540" w:lineRule="exact"/>
        <w:ind w:firstLine="567" w:firstLineChars="181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项目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组织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情况分析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 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bidi="ar"/>
        </w:rPr>
        <w:t>福彩销售机构业务专项资金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921.49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bidi="ar"/>
        </w:rPr>
        <w:t>万元。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 w:bidi="ar"/>
        </w:rPr>
        <w:t>每月按照由中心人力资源部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提交财务部门中心全体员工当月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 w:bidi="ar"/>
        </w:rPr>
        <w:t>考勤记录，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在每月15日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 w:bidi="ar"/>
        </w:rPr>
        <w:t>发放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1-12月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销售机构聘用人员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工资、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津贴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每月核对社保、住房公积金回单、确保缴费资金的准确性。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缴纳1-12月</w:t>
      </w:r>
      <w:r>
        <w:rPr>
          <w:rFonts w:hint="eastAsia" w:ascii="仿宋_GB2312" w:hAnsi="仿宋" w:eastAsia="仿宋_GB2312"/>
          <w:sz w:val="32"/>
          <w:szCs w:val="32"/>
        </w:rPr>
        <w:t>销售机构聘用人员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养老金、失业金、医保金、住房公积金，缴纳1-12月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销售机构在编人员的社保、公积金补差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3-12月全体职工伙食费。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spacing w:line="540" w:lineRule="exact"/>
        <w:ind w:firstLine="567" w:firstLineChars="181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项目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管理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情况分析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Style w:val="18"/>
          <w:rFonts w:hint="eastAsia" w:ascii="楷体" w:hAnsi="楷体" w:eastAsia="楷体"/>
          <w:spacing w:val="-4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 w:bidi="ar"/>
        </w:rPr>
        <w:t>每月按照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《自治区福利彩票发行中心工作人员管理办法》、《新疆维吾尔自治区福利彩票发行中心考勤管理办法》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财务部与人力资源部相互配合，由</w:t>
      </w:r>
      <w:bookmarkStart w:id="1" w:name="OLE_LINK1"/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人力资源部</w:t>
      </w:r>
      <w:bookmarkEnd w:id="1"/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负责考勤管理工作，财务部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依据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人力资源部提供的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职工实际考勤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eastAsia="zh-CN" w:bidi="ar"/>
        </w:rPr>
        <w:t>发放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聘用人员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工资、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津贴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。按月缴纳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销售机构聘用人员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养老金、失业金、医保金、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住房公积金，缴纳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销售机构在编人员的社保、公积金补差</w:t>
      </w:r>
      <w:r>
        <w:rPr>
          <w:rFonts w:hint="eastAsia" w:ascii="仿宋_GB2312" w:hAnsi="仿宋" w:eastAsia="仿宋_GB2312"/>
          <w:sz w:val="32"/>
          <w:szCs w:val="32"/>
        </w:rPr>
        <w:t>。在实际执行过程中，严格按照标准、要求，坚持执行财政资金跟踪制度，对资金的使用进行跟踪分析。严格按照标准进行发放，对绩效评价主题、原则、内容和绩效评价报告的报送和绩效评价结果运用等方面做出了规定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4"/>
        </w:numPr>
        <w:spacing w:line="540" w:lineRule="exact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  <w:t>项目绩效情况</w:t>
      </w:r>
    </w:p>
    <w:p>
      <w:pPr>
        <w:spacing w:line="540" w:lineRule="exact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（一）项目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绩效目标完成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情况分析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  <w:t xml:space="preserve"> 1、产出指标完成情况分析</w:t>
      </w:r>
    </w:p>
    <w:p>
      <w:pPr>
        <w:numPr>
          <w:ilvl w:val="0"/>
          <w:numId w:val="0"/>
        </w:numPr>
        <w:spacing w:line="540" w:lineRule="exact"/>
        <w:ind w:firstLine="640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（1）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项目完成数量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我中心目前干部职工人数为91人，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保障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了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干部职工人数小于等于93人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的指标值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完成100%。每月15日支付</w:t>
      </w:r>
      <w:r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  <w:t>60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名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聘用人员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工资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，并按时缴纳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缴纳社保、住房公积金，保障了职工基本权益。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31名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在编人员，按时缴纳的社保、公积金补差。</w:t>
      </w:r>
    </w:p>
    <w:p>
      <w:pPr>
        <w:numPr>
          <w:ilvl w:val="0"/>
          <w:numId w:val="0"/>
        </w:numPr>
        <w:spacing w:line="540" w:lineRule="exact"/>
        <w:ind w:firstLine="640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（2）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项目完成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质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量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通过保障员工的基本权益，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增强了职工的获得感和幸福感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，对</w:t>
      </w:r>
      <w:r>
        <w:rPr>
          <w:rFonts w:hint="default" w:ascii="仿宋" w:hAnsi="仿宋" w:eastAsia="仿宋"/>
          <w:color w:val="000000"/>
          <w:sz w:val="30"/>
          <w:szCs w:val="30"/>
          <w:highlight w:val="none"/>
          <w:lang w:eastAsia="zh-CN"/>
        </w:rPr>
        <w:t>构建幸福社会起到了积极作用，产生了深远的社会影响，取得了良好的社会效果。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通过足额按时缴纳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社保、住房公积金等增强了职工的获得感和幸福感，职工满意度达到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100%，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提升了职工的工作积极性。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超额完成2018年福利彩票销售任务和彩票公益金筹集任务。</w:t>
      </w:r>
    </w:p>
    <w:p>
      <w:pPr>
        <w:numPr>
          <w:ilvl w:val="0"/>
          <w:numId w:val="0"/>
        </w:numPr>
        <w:spacing w:line="540" w:lineRule="exact"/>
        <w:ind w:firstLine="640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（3）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项目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实施进度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截止2018年年底，销售机构业务专项资金的预算资金执行率为92.45%，项目指标的实施进度为100%。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  <w:t xml:space="preserve"> 2、效益指标完成情况分析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（1）项目实施的经济效益分析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销售机构业务专项费的执行保障了职工的社保、公积金等按时足额缴纳，职工满意，提升了职工工作的积极性，使得彩票销量及彩票公益金幅增10%以上。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（2）项目实施的社会效益分析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无社会效益指标。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（3）项目实施的生态效益分析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default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无生态效益指标。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（4）项目实施的可持续影响分析</w:t>
      </w:r>
    </w:p>
    <w:p>
      <w:pPr>
        <w:numPr>
          <w:ilvl w:val="0"/>
          <w:numId w:val="0"/>
        </w:numPr>
        <w:spacing w:line="540" w:lineRule="exact"/>
        <w:ind w:firstLine="64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/>
          <w:color w:val="000000"/>
          <w:sz w:val="30"/>
          <w:szCs w:val="30"/>
          <w:highlight w:val="none"/>
          <w:lang w:eastAsia="zh-CN"/>
        </w:rPr>
        <w:t>彩票销售队伍稳定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职工离职率降低。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</w:pPr>
      <w:r>
        <w:rPr>
          <w:rStyle w:val="18"/>
          <w:rFonts w:hint="eastAsia" w:ascii="楷体" w:hAnsi="楷体" w:eastAsia="楷体"/>
          <w:b w:val="0"/>
          <w:bCs w:val="0"/>
          <w:spacing w:val="-4"/>
          <w:sz w:val="32"/>
          <w:szCs w:val="32"/>
          <w:highlight w:val="none"/>
          <w:lang w:val="en-US" w:eastAsia="zh-CN"/>
        </w:rPr>
        <w:t>3、满意度指标完成情况分析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通过足额按时缴纳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社保、住房公积金等增强了职工的获得感和幸福感，职工满意度达到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100%，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eastAsia="zh-CN"/>
        </w:rPr>
        <w:t>提升了职工的工作积极性。</w:t>
      </w:r>
      <w:r>
        <w:rPr>
          <w:rFonts w:hint="eastAsia" w:ascii="仿宋" w:hAnsi="仿宋" w:eastAsia="仿宋"/>
          <w:color w:val="000000"/>
          <w:sz w:val="30"/>
          <w:szCs w:val="30"/>
          <w:highlight w:val="none"/>
          <w:lang w:val="en-US" w:eastAsia="zh-CN"/>
        </w:rPr>
        <w:t>超额完成2018年福利彩票销售任务和彩票公益金筹集任务。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</w:pP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（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二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）项目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  <w:lang w:eastAsia="zh-CN"/>
        </w:rPr>
        <w:t>绩效目标未完成</w:t>
      </w:r>
      <w:r>
        <w:rPr>
          <w:rStyle w:val="18"/>
          <w:rFonts w:hint="eastAsia" w:ascii="楷体" w:hAnsi="楷体" w:eastAsia="楷体"/>
          <w:spacing w:val="-4"/>
          <w:sz w:val="32"/>
          <w:szCs w:val="32"/>
          <w:highlight w:val="none"/>
        </w:rPr>
        <w:t>情况分析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项目绩效目标已完成。</w:t>
      </w:r>
    </w:p>
    <w:p>
      <w:pPr>
        <w:numPr>
          <w:ilvl w:val="0"/>
          <w:numId w:val="4"/>
        </w:numPr>
        <w:spacing w:line="540" w:lineRule="exact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  <w:t>其他需要说明的问题</w:t>
      </w:r>
    </w:p>
    <w:p>
      <w:pPr>
        <w:spacing w:line="700" w:lineRule="exact"/>
        <w:jc w:val="left"/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eastAsia="zh-CN"/>
        </w:rPr>
        <w:t>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下一步我中心将按照预算和绩效管理一体化要求，结合自身业务特点，优化预算管理流程，完善内控制度，明确部门绩效目标，加强财务与业务工作的衔接，建立绩效指标体系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进一步规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范福彩销售机构业务专项资</w:t>
      </w:r>
      <w:r>
        <w:rPr>
          <w:rFonts w:hint="eastAsia" w:hAnsi="宋体" w:eastAsia="仿宋_GB2312" w:cs="宋体"/>
          <w:kern w:val="0"/>
          <w:sz w:val="36"/>
          <w:szCs w:val="36"/>
          <w:highlight w:val="none"/>
          <w:lang w:eastAsia="zh-CN"/>
        </w:rPr>
        <w:t>金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的绩效管理工作，做到更加细致的从项目的经济性、效率性、有益性和可持续性方面进行量化分析。</w:t>
      </w:r>
    </w:p>
    <w:p>
      <w:pPr>
        <w:spacing w:line="700" w:lineRule="exact"/>
        <w:jc w:val="left"/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val="en-US" w:eastAsia="zh-CN"/>
        </w:rPr>
        <w:t xml:space="preserve">（二）主要经验及做法、存在问题和建议 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一、主要经验及做法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1、按照中心工作部署，深入调查研究，建立健全制度入手，加强科学管理，不断创新工作理念，改进方式方法。</w:t>
      </w:r>
    </w:p>
    <w:p>
      <w:pPr>
        <w:spacing w:line="700" w:lineRule="exact"/>
        <w:ind w:firstLine="640" w:firstLineChars="200"/>
        <w:jc w:val="left"/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2、加强组织领导。成立以主任为主要负责人的工作机制，合理分工，全员参与，责任到人。</w:t>
      </w:r>
    </w:p>
    <w:p>
      <w:pPr>
        <w:spacing w:line="700" w:lineRule="exact"/>
        <w:ind w:firstLine="640"/>
        <w:jc w:val="left"/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根据我中心实际工作，建立完善《自治区福利彩票发行中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心工作人员管理办法》、《新疆维吾尔自治区福利彩票发行中心考勤管理办法》等制度。对于存在夜班、开奖等工作人员，及时做好考勤的登记。</w:t>
      </w:r>
    </w:p>
    <w:p>
      <w:pPr>
        <w:spacing w:line="700" w:lineRule="exact"/>
        <w:ind w:firstLine="640"/>
        <w:jc w:val="left"/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二、存在的问题和建议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建立绩效评价相关工作制度，完善体系建设，对工作规则、操作流程进行明确界定，并对实施主体的权力义务进行规定，形成文件，要求各个处室进行学习，了解自身部门的职能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spacing w:line="700" w:lineRule="exact"/>
        <w:jc w:val="left"/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spacing w:val="-4"/>
          <w:sz w:val="32"/>
          <w:szCs w:val="32"/>
          <w:highlight w:val="none"/>
          <w:lang w:val="en-US" w:eastAsia="zh-CN"/>
        </w:rPr>
        <w:t xml:space="preserve">（三）其他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依据</w:t>
      </w:r>
      <w:r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社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保相关</w:t>
      </w:r>
      <w:r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政策规定，做好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每月按时缴纳工作人员社保、公积金</w:t>
      </w:r>
      <w:r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工作，接受财政、审计和主管部门的指导和监督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4"/>
        </w:numPr>
        <w:spacing w:line="540" w:lineRule="exact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  <w:t>项目评价工作情况</w:t>
      </w: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  <w:lang w:val="en-US" w:eastAsia="zh-CN"/>
        </w:rPr>
        <w:t xml:space="preserve">   </w:t>
      </w:r>
    </w:p>
    <w:p>
      <w:pPr>
        <w:spacing w:line="700" w:lineRule="exact"/>
        <w:ind w:firstLine="624"/>
        <w:jc w:val="left"/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绩效评价结果运用。对于绩效考评结果好的部门，在下一</w:t>
      </w:r>
    </w:p>
    <w:p>
      <w:pPr>
        <w:spacing w:line="700" w:lineRule="exact"/>
        <w:jc w:val="left"/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年度项目立项和预算分配方面给予一定的优先权；对于绩效考评结果差的项目部门，在项目立项和预算分配方面进行重点关注，从严把关。还可结合预算的完成情况，将经费预算执行率、项目实施效果与绩效考评结果挂钩，提高资金绩效性。通过福彩销售机构业务专项资金的项目实施，最大程度保障我中心员工的基本权益，防止了工作人员的流失，确保了中心各项日常工作、突发工作的顺利开展。</w:t>
      </w:r>
    </w:p>
    <w:p>
      <w:pPr>
        <w:spacing w:line="540" w:lineRule="exact"/>
        <w:ind w:firstLine="640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4"/>
        </w:numPr>
        <w:spacing w:line="540" w:lineRule="exact"/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</w:pPr>
      <w:r>
        <w:rPr>
          <w:rStyle w:val="18"/>
          <w:rFonts w:hint="eastAsia" w:ascii="黑体" w:hAnsi="黑体" w:eastAsia="黑体"/>
          <w:b w:val="0"/>
          <w:spacing w:val="-4"/>
          <w:sz w:val="32"/>
          <w:szCs w:val="32"/>
        </w:rPr>
        <w:t>附表</w:t>
      </w:r>
    </w:p>
    <w:p>
      <w:pPr>
        <w:numPr>
          <w:ilvl w:val="0"/>
          <w:numId w:val="0"/>
        </w:numPr>
        <w:spacing w:line="540" w:lineRule="exact"/>
        <w:rPr>
          <w:rStyle w:val="18"/>
          <w:rFonts w:ascii="仿宋" w:hAnsi="仿宋" w:eastAsia="仿宋"/>
          <w:b w:val="0"/>
          <w:spacing w:val="-4"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  <w:lang w:val="en-US" w:eastAsia="zh-CN"/>
        </w:rPr>
        <w:t xml:space="preserve">    </w:t>
      </w:r>
      <w:r>
        <w:rPr>
          <w:rStyle w:val="18"/>
          <w:rFonts w:hint="eastAsia" w:ascii="仿宋" w:hAnsi="仿宋" w:eastAsia="仿宋"/>
          <w:b w:val="0"/>
          <w:spacing w:val="-4"/>
          <w:sz w:val="32"/>
          <w:szCs w:val="32"/>
          <w:highlight w:val="none"/>
        </w:rPr>
        <w:t>《自治区财政项目支出绩效自评表》</w:t>
      </w:r>
    </w:p>
    <w:tbl>
      <w:tblPr>
        <w:tblStyle w:val="2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360"/>
        <w:gridCol w:w="1080"/>
        <w:gridCol w:w="880"/>
        <w:gridCol w:w="206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自治区财政项目支出绩效自评表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2018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福彩销售业务专项资金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新疆福利彩票发行中心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预算数：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921.49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执行数：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851.93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876.49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806.93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实际完成目标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保障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2018年长期聘用人员的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工资和社保，增强员工工作积极性。保障率达到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防止了工作人员的流失，确保了中心各项日常工作、突发工作的顺利开展。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工作人员无严重流失，中心日常工作开展顺利，每月按时缴纳工作及社保。预算资金按进度执行。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预期指标值（包含数字及文字描述）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实际完成指标值（包含数字及文字描述）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项目完成指标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保障干部职工人数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93人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提升职工工作积极性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年度工作任务完成率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工作任务完成率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按月发放工资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按月缴纳社保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完成率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占年度销售机构业务费比例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项目效果指标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彩票销量增幅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公益金增幅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指标1：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彩票销售队伍稳定性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职工离职率小于等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职工满意度率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大于等于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98%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指标2：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……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Style w:val="18"/>
          <w:rFonts w:ascii="仿宋" w:hAnsi="仿宋" w:eastAsia="仿宋"/>
          <w:b w:val="0"/>
          <w:spacing w:val="-4"/>
          <w:sz w:val="32"/>
          <w:szCs w:val="32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03363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26338140">
    <w:nsid w:val="7EBD585C"/>
    <w:multiLevelType w:val="singleLevel"/>
    <w:tmpl w:val="7EBD585C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49022579">
    <w:nsid w:val="5C543573"/>
    <w:multiLevelType w:val="singleLevel"/>
    <w:tmpl w:val="5C543573"/>
    <w:lvl w:ilvl="0" w:tentative="1">
      <w:start w:val="3"/>
      <w:numFmt w:val="chineseCounting"/>
      <w:suff w:val="nothing"/>
      <w:lvlText w:val="%1、"/>
      <w:lvlJc w:val="left"/>
    </w:lvl>
  </w:abstractNum>
  <w:abstractNum w:abstractNumId="1549009332">
    <w:nsid w:val="5C5401B4"/>
    <w:multiLevelType w:val="singleLevel"/>
    <w:tmpl w:val="5C5401B4"/>
    <w:lvl w:ilvl="0" w:tentative="1">
      <w:start w:val="4"/>
      <w:numFmt w:val="chineseCounting"/>
      <w:suff w:val="nothing"/>
      <w:lvlText w:val="%1、"/>
      <w:lvlJc w:val="left"/>
    </w:lvl>
  </w:abstractNum>
  <w:abstractNum w:abstractNumId="1549022989">
    <w:nsid w:val="5C54370D"/>
    <w:multiLevelType w:val="singleLevel"/>
    <w:tmpl w:val="5C54370D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549022579"/>
  </w:num>
  <w:num w:numId="2">
    <w:abstractNumId w:val="2126338140"/>
  </w:num>
  <w:num w:numId="3">
    <w:abstractNumId w:val="1549022989"/>
  </w:num>
  <w:num w:numId="4">
    <w:abstractNumId w:val="1549009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57"/>
    <w:rsid w:val="00056465"/>
    <w:rsid w:val="00121AE4"/>
    <w:rsid w:val="00146AAD"/>
    <w:rsid w:val="001B3A40"/>
    <w:rsid w:val="004366A8"/>
    <w:rsid w:val="00502BA7"/>
    <w:rsid w:val="005162F1"/>
    <w:rsid w:val="00535153"/>
    <w:rsid w:val="00554F82"/>
    <w:rsid w:val="0056390D"/>
    <w:rsid w:val="005719B0"/>
    <w:rsid w:val="005D10D6"/>
    <w:rsid w:val="00794195"/>
    <w:rsid w:val="00855E3A"/>
    <w:rsid w:val="00922CB9"/>
    <w:rsid w:val="009E5CD9"/>
    <w:rsid w:val="00A26421"/>
    <w:rsid w:val="00A4293B"/>
    <w:rsid w:val="00A67D50"/>
    <w:rsid w:val="00A8691A"/>
    <w:rsid w:val="00AC1946"/>
    <w:rsid w:val="00B40063"/>
    <w:rsid w:val="00B41F61"/>
    <w:rsid w:val="00BA46E6"/>
    <w:rsid w:val="00C56C72"/>
    <w:rsid w:val="00CA6457"/>
    <w:rsid w:val="00D17F2E"/>
    <w:rsid w:val="00D30354"/>
    <w:rsid w:val="00DF42A0"/>
    <w:rsid w:val="00E769FE"/>
    <w:rsid w:val="00EA2CBE"/>
    <w:rsid w:val="00F32FEE"/>
    <w:rsid w:val="00FB10BB"/>
    <w:rsid w:val="0AD86498"/>
    <w:rsid w:val="0B0B6FF1"/>
    <w:rsid w:val="155B3298"/>
    <w:rsid w:val="1A3B0898"/>
    <w:rsid w:val="1ACA42D3"/>
    <w:rsid w:val="1B04110D"/>
    <w:rsid w:val="1CBE32FF"/>
    <w:rsid w:val="1E136777"/>
    <w:rsid w:val="274C7086"/>
    <w:rsid w:val="2CE45672"/>
    <w:rsid w:val="35AA5C80"/>
    <w:rsid w:val="3B722C92"/>
    <w:rsid w:val="4B3F67D6"/>
    <w:rsid w:val="51521776"/>
    <w:rsid w:val="52BA1E1B"/>
    <w:rsid w:val="56351AE6"/>
    <w:rsid w:val="5BD96067"/>
    <w:rsid w:val="682C7695"/>
    <w:rsid w:val="68430AEE"/>
    <w:rsid w:val="705E6138"/>
    <w:rsid w:val="73F36F3C"/>
    <w:rsid w:val="7458686C"/>
    <w:rsid w:val="752217B8"/>
    <w:rsid w:val="7D2D4401"/>
    <w:rsid w:val="7E95593D"/>
    <w:rsid w:val="7EDB6B02"/>
    <w:rsid w:val="7F2B4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8"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</w:rPr>
  </w:style>
  <w:style w:type="paragraph" w:styleId="8">
    <w:name w:val="heading 7"/>
    <w:basedOn w:val="1"/>
    <w:next w:val="1"/>
    <w:link w:val="29"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</w:rPr>
  </w:style>
  <w:style w:type="paragraph" w:styleId="9">
    <w:name w:val="heading 8"/>
    <w:basedOn w:val="1"/>
    <w:next w:val="1"/>
    <w:link w:val="30"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</w:rPr>
  </w:style>
  <w:style w:type="paragraph" w:styleId="10">
    <w:name w:val="heading 9"/>
    <w:basedOn w:val="1"/>
    <w:next w:val="1"/>
    <w:link w:val="31"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</w:rPr>
  </w:style>
  <w:style w:type="character" w:default="1" w:styleId="17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8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3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</w:rPr>
  </w:style>
  <w:style w:type="paragraph" w:styleId="15">
    <w:name w:val="Normal (Web)"/>
    <w:basedOn w:val="1"/>
    <w:unhideWhenUsed/>
    <w:qFormat/>
    <w:uiPriority w:val="99"/>
    <w:rPr>
      <w:sz w:val="24"/>
    </w:rPr>
  </w:style>
  <w:style w:type="paragraph" w:styleId="16">
    <w:name w:val="Title"/>
    <w:basedOn w:val="1"/>
    <w:next w:val="1"/>
    <w:link w:val="32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434343"/>
      <w:u w:val="none"/>
    </w:rPr>
  </w:style>
  <w:style w:type="character" w:styleId="20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1">
    <w:name w:val="Hyperlink"/>
    <w:basedOn w:val="17"/>
    <w:unhideWhenUsed/>
    <w:qFormat/>
    <w:uiPriority w:val="99"/>
    <w:rPr>
      <w:color w:val="434343"/>
      <w:u w:val="none"/>
    </w:rPr>
  </w:style>
  <w:style w:type="character" w:customStyle="1" w:styleId="23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6">
    <w:name w:val="标题 4 Char"/>
    <w:basedOn w:val="17"/>
    <w:link w:val="5"/>
    <w:semiHidden/>
    <w:qFormat/>
    <w:uiPriority w:val="9"/>
    <w:rPr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8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9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2">
    <w:name w:val="标题 Char"/>
    <w:basedOn w:val="17"/>
    <w:link w:val="16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3">
    <w:name w:val="副标题 Char"/>
    <w:basedOn w:val="17"/>
    <w:link w:val="14"/>
    <w:qFormat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4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  <w:lang w:eastAsia="en-US" w:bidi="en-US"/>
    </w:rPr>
  </w:style>
  <w:style w:type="paragraph" w:customStyle="1" w:styleId="35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lang w:eastAsia="en-US" w:bidi="en-US"/>
    </w:rPr>
  </w:style>
  <w:style w:type="paragraph" w:customStyle="1" w:styleId="36">
    <w:name w:val="Quote"/>
    <w:basedOn w:val="1"/>
    <w:next w:val="1"/>
    <w:link w:val="37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</w:rPr>
  </w:style>
  <w:style w:type="character" w:customStyle="1" w:styleId="37">
    <w:name w:val="引用 Char"/>
    <w:basedOn w:val="17"/>
    <w:link w:val="36"/>
    <w:qFormat/>
    <w:uiPriority w:val="29"/>
    <w:rPr>
      <w:i/>
      <w:sz w:val="24"/>
      <w:szCs w:val="24"/>
    </w:rPr>
  </w:style>
  <w:style w:type="paragraph" w:customStyle="1" w:styleId="38">
    <w:name w:val="Intense Quote"/>
    <w:basedOn w:val="1"/>
    <w:next w:val="1"/>
    <w:link w:val="39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  <w:szCs w:val="22"/>
    </w:rPr>
  </w:style>
  <w:style w:type="character" w:customStyle="1" w:styleId="39">
    <w:name w:val="明显引用 Char"/>
    <w:basedOn w:val="17"/>
    <w:link w:val="38"/>
    <w:qFormat/>
    <w:uiPriority w:val="30"/>
    <w:rPr>
      <w:b/>
      <w:i/>
      <w:sz w:val="24"/>
    </w:rPr>
  </w:style>
  <w:style w:type="character" w:customStyle="1" w:styleId="40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4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Heading"/>
    <w:basedOn w:val="2"/>
    <w:next w:val="1"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6">
    <w:name w:val="页眉 Char"/>
    <w:basedOn w:val="17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7">
    <w:name w:val="页脚 Char"/>
    <w:basedOn w:val="17"/>
    <w:link w:val="12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8">
    <w:name w:val="批注框文本 Char"/>
    <w:basedOn w:val="17"/>
    <w:link w:val="11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49">
    <w:name w:val="zx-span1"/>
    <w:basedOn w:val="17"/>
    <w:qFormat/>
    <w:uiPriority w:val="0"/>
  </w:style>
  <w:style w:type="character" w:customStyle="1" w:styleId="50">
    <w:name w:val="zx-span11"/>
    <w:basedOn w:val="17"/>
    <w:qFormat/>
    <w:uiPriority w:val="0"/>
    <w:rPr>
      <w:color w:val="FFFFFF"/>
    </w:rPr>
  </w:style>
  <w:style w:type="character" w:customStyle="1" w:styleId="51">
    <w:name w:val="zx-span3"/>
    <w:basedOn w:val="17"/>
    <w:qFormat/>
    <w:uiPriority w:val="0"/>
  </w:style>
  <w:style w:type="character" w:customStyle="1" w:styleId="52">
    <w:name w:val="zx-span31"/>
    <w:basedOn w:val="17"/>
    <w:qFormat/>
    <w:uiPriority w:val="0"/>
    <w:rPr>
      <w:color w:val="FFFFFF"/>
    </w:rPr>
  </w:style>
  <w:style w:type="character" w:customStyle="1" w:styleId="53">
    <w:name w:val="hdjl-x-l-x-sp3"/>
    <w:basedOn w:val="17"/>
    <w:qFormat/>
    <w:uiPriority w:val="0"/>
    <w:rPr>
      <w:color w:val="BFBFBF"/>
      <w:sz w:val="18"/>
      <w:szCs w:val="18"/>
    </w:rPr>
  </w:style>
  <w:style w:type="character" w:customStyle="1" w:styleId="54">
    <w:name w:val="bsfw-sp1"/>
    <w:basedOn w:val="17"/>
    <w:qFormat/>
    <w:uiPriority w:val="0"/>
  </w:style>
  <w:style w:type="character" w:customStyle="1" w:styleId="55">
    <w:name w:val="bsfw-sp11"/>
    <w:basedOn w:val="17"/>
    <w:qFormat/>
    <w:uiPriority w:val="0"/>
    <w:rPr>
      <w:color w:val="FFFFFF"/>
      <w:shd w:val="clear" w:fill="347BD7"/>
    </w:rPr>
  </w:style>
  <w:style w:type="character" w:customStyle="1" w:styleId="56">
    <w:name w:val="ndata"/>
    <w:basedOn w:val="17"/>
    <w:qFormat/>
    <w:uiPriority w:val="0"/>
    <w:rPr>
      <w:color w:val="888888"/>
      <w:sz w:val="21"/>
      <w:szCs w:val="21"/>
    </w:rPr>
  </w:style>
  <w:style w:type="character" w:customStyle="1" w:styleId="57">
    <w:name w:val="bsfw-sp3"/>
    <w:basedOn w:val="17"/>
    <w:qFormat/>
    <w:uiPriority w:val="0"/>
  </w:style>
  <w:style w:type="character" w:customStyle="1" w:styleId="58">
    <w:name w:val="bsfw-sp31"/>
    <w:basedOn w:val="17"/>
    <w:qFormat/>
    <w:uiPriority w:val="0"/>
    <w:rPr>
      <w:color w:val="FFFFFF"/>
      <w:shd w:val="clear" w:fill="347BD7"/>
    </w:rPr>
  </w:style>
  <w:style w:type="character" w:customStyle="1" w:styleId="59">
    <w:name w:val="r-5-l-sp1"/>
    <w:basedOn w:val="17"/>
    <w:qFormat/>
    <w:uiPriority w:val="0"/>
  </w:style>
  <w:style w:type="character" w:customStyle="1" w:styleId="60">
    <w:name w:val="zx-span2"/>
    <w:basedOn w:val="17"/>
    <w:qFormat/>
    <w:uiPriority w:val="0"/>
  </w:style>
  <w:style w:type="character" w:customStyle="1" w:styleId="61">
    <w:name w:val="zx-span21"/>
    <w:basedOn w:val="17"/>
    <w:qFormat/>
    <w:uiPriority w:val="0"/>
    <w:rPr>
      <w:color w:val="FFFFFF"/>
    </w:rPr>
  </w:style>
  <w:style w:type="character" w:customStyle="1" w:styleId="62">
    <w:name w:val="time"/>
    <w:basedOn w:val="17"/>
    <w:qFormat/>
    <w:uiPriority w:val="0"/>
    <w:rPr>
      <w:color w:val="AAAAAA"/>
    </w:rPr>
  </w:style>
  <w:style w:type="character" w:customStyle="1" w:styleId="63">
    <w:name w:val="time1"/>
    <w:basedOn w:val="17"/>
    <w:qFormat/>
    <w:uiPriority w:val="0"/>
    <w:rPr>
      <w:color w:val="AAAAAA"/>
    </w:rPr>
  </w:style>
  <w:style w:type="character" w:customStyle="1" w:styleId="64">
    <w:name w:val="zx-span5"/>
    <w:basedOn w:val="17"/>
    <w:qFormat/>
    <w:uiPriority w:val="0"/>
  </w:style>
  <w:style w:type="character" w:customStyle="1" w:styleId="65">
    <w:name w:val="zx-span51"/>
    <w:basedOn w:val="17"/>
    <w:qFormat/>
    <w:uiPriority w:val="0"/>
    <w:rPr>
      <w:color w:val="FFFFFF"/>
    </w:rPr>
  </w:style>
  <w:style w:type="character" w:customStyle="1" w:styleId="66">
    <w:name w:val="zx-span4"/>
    <w:basedOn w:val="17"/>
    <w:qFormat/>
    <w:uiPriority w:val="0"/>
  </w:style>
  <w:style w:type="character" w:customStyle="1" w:styleId="67">
    <w:name w:val="zx-span41"/>
    <w:basedOn w:val="17"/>
    <w:qFormat/>
    <w:uiPriority w:val="0"/>
    <w:rPr>
      <w:color w:val="FFFFFF"/>
    </w:rPr>
  </w:style>
  <w:style w:type="character" w:customStyle="1" w:styleId="68">
    <w:name w:val="bsfw-sp2"/>
    <w:basedOn w:val="17"/>
    <w:qFormat/>
    <w:uiPriority w:val="0"/>
  </w:style>
  <w:style w:type="character" w:customStyle="1" w:styleId="69">
    <w:name w:val="bsfw-sp21"/>
    <w:basedOn w:val="17"/>
    <w:qFormat/>
    <w:uiPriority w:val="0"/>
    <w:rPr>
      <w:color w:val="FFFFFF"/>
      <w:shd w:val="clear" w:fill="347BD7"/>
    </w:rPr>
  </w:style>
  <w:style w:type="character" w:customStyle="1" w:styleId="70">
    <w:name w:val="hdjl-x-l-m-sp1"/>
    <w:basedOn w:val="17"/>
    <w:qFormat/>
    <w:uiPriority w:val="0"/>
  </w:style>
  <w:style w:type="character" w:customStyle="1" w:styleId="71">
    <w:name w:val="hdjl-x-l-m-sp4"/>
    <w:basedOn w:val="17"/>
    <w:qFormat/>
    <w:uiPriority w:val="0"/>
  </w:style>
  <w:style w:type="character" w:customStyle="1" w:styleId="72">
    <w:name w:val="hdjl-x-l-m-sp2"/>
    <w:basedOn w:val="17"/>
    <w:qFormat/>
    <w:uiPriority w:val="0"/>
  </w:style>
  <w:style w:type="character" w:customStyle="1" w:styleId="73">
    <w:name w:val="hdjl-x-l-m-sp3"/>
    <w:basedOn w:val="17"/>
    <w:qFormat/>
    <w:uiPriority w:val="0"/>
  </w:style>
  <w:style w:type="character" w:customStyle="1" w:styleId="74">
    <w:name w:val="zx-xuan4"/>
    <w:basedOn w:val="17"/>
    <w:qFormat/>
    <w:uiPriority w:val="0"/>
    <w:rPr>
      <w:shd w:val="clear" w:fill="FFFFFF"/>
    </w:rPr>
  </w:style>
  <w:style w:type="character" w:customStyle="1" w:styleId="75">
    <w:name w:val="hdata"/>
    <w:basedOn w:val="17"/>
    <w:qFormat/>
    <w:uiPriority w:val="0"/>
    <w:rPr>
      <w:color w:val="888888"/>
      <w:sz w:val="18"/>
      <w:szCs w:val="18"/>
    </w:rPr>
  </w:style>
  <w:style w:type="character" w:customStyle="1" w:styleId="76">
    <w:name w:val="zx-xuan15"/>
    <w:basedOn w:val="17"/>
    <w:qFormat/>
    <w:uiPriority w:val="0"/>
    <w:rPr>
      <w:color w:val="FFFFFF"/>
    </w:rPr>
  </w:style>
  <w:style w:type="character" w:customStyle="1" w:styleId="77">
    <w:name w:val="hover84"/>
    <w:basedOn w:val="17"/>
    <w:qFormat/>
    <w:uiPriority w:val="0"/>
    <w:rPr>
      <w:shd w:val="clear" w:fill="347BD7"/>
    </w:rPr>
  </w:style>
  <w:style w:type="character" w:customStyle="1" w:styleId="78">
    <w:name w:val="r-5-l-sp2"/>
    <w:basedOn w:val="17"/>
    <w:qFormat/>
    <w:uiPriority w:val="0"/>
  </w:style>
  <w:style w:type="character" w:customStyle="1" w:styleId="79">
    <w:name w:val="r-5-l-sp3"/>
    <w:basedOn w:val="17"/>
    <w:qFormat/>
    <w:uiPriority w:val="0"/>
  </w:style>
  <w:style w:type="character" w:customStyle="1" w:styleId="80">
    <w:name w:val="zwfw-sp2"/>
    <w:basedOn w:val="17"/>
    <w:qFormat/>
    <w:uiPriority w:val="0"/>
  </w:style>
  <w:style w:type="character" w:customStyle="1" w:styleId="81">
    <w:name w:val="zx-xuan9"/>
    <w:basedOn w:val="17"/>
    <w:qFormat/>
    <w:uiPriority w:val="0"/>
    <w:rPr>
      <w:shd w:val="clear" w:fill="347BD7"/>
    </w:rPr>
  </w:style>
  <w:style w:type="character" w:customStyle="1" w:styleId="82">
    <w:name w:val="hdjl-x-l-x-sp1"/>
    <w:basedOn w:val="17"/>
    <w:uiPriority w:val="0"/>
    <w:rPr>
      <w:color w:val="BFBFBF"/>
      <w:sz w:val="24"/>
      <w:szCs w:val="24"/>
    </w:rPr>
  </w:style>
  <w:style w:type="character" w:customStyle="1" w:styleId="83">
    <w:name w:val="hdxdata"/>
    <w:basedOn w:val="17"/>
    <w:qFormat/>
    <w:uiPriority w:val="0"/>
  </w:style>
  <w:style w:type="character" w:customStyle="1" w:styleId="84">
    <w:name w:val="hdxdata1"/>
    <w:basedOn w:val="17"/>
    <w:qFormat/>
    <w:uiPriority w:val="0"/>
  </w:style>
  <w:style w:type="character" w:customStyle="1" w:styleId="85">
    <w:name w:val="hover83"/>
    <w:basedOn w:val="17"/>
    <w:qFormat/>
    <w:uiPriority w:val="0"/>
    <w:rPr>
      <w:shd w:val="clear" w:fill="347BD7"/>
    </w:rPr>
  </w:style>
  <w:style w:type="character" w:customStyle="1" w:styleId="86">
    <w:name w:val="hover"/>
    <w:basedOn w:val="17"/>
    <w:qFormat/>
    <w:uiPriority w:val="0"/>
    <w:rPr>
      <w:shd w:val="clear" w:fill="347BD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</Words>
  <Characters>1164</Characters>
  <Lines>9</Lines>
  <Paragraphs>2</Paragraphs>
  <ScaleCrop>false</ScaleCrop>
  <LinksUpToDate>false</LinksUpToDate>
  <CharactersWithSpaces>1366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单宁</cp:lastModifiedBy>
  <cp:lastPrinted>2019-03-08T02:12:00Z</cp:lastPrinted>
  <dcterms:modified xsi:type="dcterms:W3CDTF">2019-08-23T10:39:03Z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